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A31D4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611620" cy="9573895"/>
            <wp:effectExtent l="0" t="0" r="17780" b="8255"/>
            <wp:docPr id="1" name="Изображение 1" descr="учебный грфик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учебный грфик3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1620" cy="957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51A27">
      <w:pPr>
        <w:tabs>
          <w:tab w:val="left" w:pos="52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14:paraId="1621A1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80" w:firstLineChars="200"/>
        <w:jc w:val="both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автономном дошкольном образовательном  учреждении «Детский сад общеразвивающего вида  с приоритетным осуществлением  деятельности по познавательно - речевому направлению развития воспитанников  №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</w:rPr>
        <w:t>114 «Челнинская мозаика».</w:t>
      </w:r>
    </w:p>
    <w:p w14:paraId="5139E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Годовой календарный учебный график МАДОУ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«Детский сад № 114 «Челнинская мозаика»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 разработан на основе документов регламентирующих образовательную деятельность:</w:t>
      </w:r>
    </w:p>
    <w:p w14:paraId="2065A1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-Федеральный закон об образовании в Российской Федерации (с изменениями на 13 июня 2023 года) (редакция, действующая с 18 июня 2023 года)</w:t>
      </w:r>
    </w:p>
    <w:p w14:paraId="065DA970">
      <w:pPr>
        <w:spacing w:after="0" w:line="240" w:lineRule="auto"/>
        <w:ind w:firstLine="42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-Приказ Министерства просвещения РФ от 25 ноября 2022 г. № 1028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</w:rPr>
        <w:t>Об утверждении федеральной образовательной программы дошкольного образования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</w:p>
    <w:p w14:paraId="4E0E36A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360" w:firstLineChars="150"/>
        <w:jc w:val="both"/>
        <w:textAlignment w:val="baseline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 xml:space="preserve">-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t>П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 xml:space="preserve">риказ Министерства просвещения Российской Федерации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t>от 6 ноября 2024 года № 779</w:t>
      </w:r>
    </w:p>
    <w:p w14:paraId="0DF2E1C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t>Об утверждении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instrText xml:space="preserve"> HYPERLINK "https://docs.cntd.ru/document/1310389034" \l "6560IO" </w:instrTex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t>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vertAlign w:val="baseline"/>
          <w:lang w:val="ru-RU"/>
        </w:rPr>
        <w:t>»</w:t>
      </w:r>
    </w:p>
    <w:p w14:paraId="51808690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Утверждён</w:t>
      </w:r>
      <w:r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17 октября 2013 г. N 1155).</w:t>
      </w:r>
    </w:p>
    <w:p w14:paraId="77F0276E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kern w:val="36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Комментарии к ФГОС дошкольного образования Минобрнауки России Департамента общего образования от 28 февраля 2014 года № 08-249.</w:t>
      </w:r>
    </w:p>
    <w:p w14:paraId="24D2F4E3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14:paraId="216DEBC0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9"/>
          <w:rFonts w:ascii="Times New Roman" w:hAnsi="Times New Roman" w:cs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14:paraId="5A03989D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юстиции РФ от 18.12.2020 №61573.</w:t>
      </w:r>
    </w:p>
    <w:p w14:paraId="3CBEBB30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 1.2.3685-21 «Санитарные правила и нормы»).</w:t>
      </w:r>
    </w:p>
    <w:p w14:paraId="71A12370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27.10.2020 г.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населения.</w:t>
      </w:r>
    </w:p>
    <w:p w14:paraId="0A5AE65C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9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г. с изменениями на 18.06.2022 г.).</w:t>
      </w:r>
    </w:p>
    <w:p w14:paraId="41A42705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Закон Республики Татарстан «О государственных языках Республики Татарстан и других Языках в Республики Татарстан» (изменения и дополнения от 24.03.2022 г.</w:t>
      </w:r>
    </w:p>
    <w:p w14:paraId="0BBB3066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9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Устав муниципального автономного  дошкольного  образовательного учреждения «Детский сад  № 114 «Челнинская мозаика».</w:t>
      </w:r>
    </w:p>
    <w:p w14:paraId="3ECE5B4C">
      <w:pPr>
        <w:pStyle w:val="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Образовательная программа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«Детский сад №114 «Челнинская мозаика».  </w:t>
      </w:r>
      <w:r>
        <w:rPr>
          <w:rFonts w:ascii="Times New Roman" w:hAnsi="Times New Roman" w:cs="Times New Roman"/>
          <w:sz w:val="24"/>
          <w:szCs w:val="24"/>
          <w:lang w:val="tt-RU"/>
        </w:rPr>
        <w:t>(разработана в соответстие с ФОП ДО и ФГОС ДО</w:t>
      </w:r>
    </w:p>
    <w:p w14:paraId="4842E4B1">
      <w:pPr>
        <w:pStyle w:val="8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lang w:val="tt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14:paraId="1636E1A6">
      <w:pPr>
        <w:pStyle w:val="6"/>
        <w:spacing w:before="0" w:beforeAutospacing="0" w:after="0" w:afterAutospacing="0"/>
        <w:ind w:firstLine="567"/>
        <w:jc w:val="both"/>
        <w:textAlignment w:val="baseline"/>
        <w:rPr>
          <w:szCs w:val="22"/>
          <w:lang w:eastAsia="en-US"/>
        </w:rPr>
      </w:pPr>
      <w:r>
        <w:rPr>
          <w:color w:val="000000"/>
          <w:szCs w:val="22"/>
        </w:rPr>
        <w:t>Годовой календарный учебный график обсуждается и принимается на педагогическом совете дошкольного образовательного учреждения, утверждается приказом заведующего ДОУ согласовывается  с п</w:t>
      </w:r>
      <w:r>
        <w:rPr>
          <w:szCs w:val="22"/>
          <w:lang w:eastAsia="en-US"/>
        </w:rPr>
        <w:t>ервым заместителем начальника управления образования города Набережные Челны.</w:t>
      </w:r>
      <w:r>
        <w:rPr>
          <w:color w:val="000000"/>
          <w:szCs w:val="22"/>
        </w:rPr>
        <w:t xml:space="preserve"> Все изменения, вносимые ДОУ в годовой календарный учебный график, утверждаются приказом заведующего образовательного учреждения и доводится до всех участников образовательного процесса.</w:t>
      </w:r>
    </w:p>
    <w:p w14:paraId="0EBD7FE7">
      <w:pPr>
        <w:pStyle w:val="8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 xml:space="preserve">МАДОУ №114 «Челнинская мозаика» </w:t>
      </w:r>
      <w:r>
        <w:rPr>
          <w:rFonts w:ascii="Times New Roman" w:hAnsi="Times New Roman" w:cs="Times New Roman"/>
          <w:color w:val="000000"/>
          <w:sz w:val="24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tbl>
      <w:tblPr>
        <w:tblStyle w:val="7"/>
        <w:tblpPr w:leftFromText="180" w:rightFromText="180" w:vertAnchor="text" w:horzAnchor="page" w:tblpX="786" w:tblpY="271"/>
        <w:tblOverlap w:val="never"/>
        <w:tblW w:w="10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10"/>
        <w:gridCol w:w="1276"/>
        <w:gridCol w:w="1134"/>
        <w:gridCol w:w="1275"/>
        <w:gridCol w:w="1276"/>
        <w:gridCol w:w="1418"/>
        <w:gridCol w:w="1382"/>
      </w:tblGrid>
      <w:tr w14:paraId="59E07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BD22F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30C3B2">
            <w:pPr>
              <w:pStyle w:val="8"/>
              <w:tabs>
                <w:tab w:val="left" w:pos="2302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2F7608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</w:p>
        </w:tc>
        <w:tc>
          <w:tcPr>
            <w:tcW w:w="64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FB15D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Наименование возрастных групп</w:t>
            </w:r>
          </w:p>
        </w:tc>
      </w:tr>
      <w:tr w14:paraId="6C11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690907C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FA8318C">
            <w:pPr>
              <w:spacing w:after="0" w:line="240" w:lineRule="auto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54062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val="tt-RU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val="tt-RU" w:eastAsia="en-US"/>
              </w:rPr>
              <w:t>Ясельная группа</w:t>
            </w:r>
          </w:p>
          <w:p w14:paraId="0F0F5C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val="tt-RU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val="tt-RU" w:eastAsia="en-US"/>
              </w:rPr>
              <w:t xml:space="preserve"> ( раннего возраста)</w:t>
            </w:r>
          </w:p>
          <w:p w14:paraId="2788FC4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val="tt-RU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val="tt-RU" w:eastAsia="en-US"/>
              </w:rPr>
              <w:t>(1-2)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212BD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1 младшая</w:t>
            </w:r>
          </w:p>
          <w:p w14:paraId="477B1C2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группа</w:t>
            </w:r>
          </w:p>
          <w:p w14:paraId="31A9EC7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(2-3)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2FAA2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2 младшая группа</w:t>
            </w:r>
          </w:p>
          <w:p w14:paraId="71284BA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(3 - 4)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968DF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Средняя группа</w:t>
            </w:r>
          </w:p>
          <w:p w14:paraId="01CD34F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(4 – 5)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0AE2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Старшая группа</w:t>
            </w:r>
          </w:p>
          <w:p w14:paraId="62DEA94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(5 – 6)</w:t>
            </w:r>
          </w:p>
        </w:tc>
        <w:tc>
          <w:tcPr>
            <w:tcW w:w="1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6213D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val="tt-RU"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Подготови</w:t>
            </w:r>
            <w:r>
              <w:rPr>
                <w:rFonts w:ascii="Times New Roman" w:hAnsi="Times New Roman" w:cs="Times New Roman" w:eastAsiaTheme="minorHAnsi"/>
                <w:b/>
                <w:color w:val="000000"/>
                <w:lang w:val="tt-RU" w:eastAsia="en-US"/>
              </w:rPr>
              <w:t>-</w:t>
            </w:r>
          </w:p>
          <w:p w14:paraId="3F92E02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тельная               группа</w:t>
            </w:r>
          </w:p>
          <w:p w14:paraId="1F5C711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color w:val="000000"/>
                <w:lang w:eastAsia="en-US"/>
              </w:rPr>
              <w:t>(6 – 7)</w:t>
            </w:r>
          </w:p>
        </w:tc>
      </w:tr>
      <w:tr w14:paraId="0CB8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04F5D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C30DFA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Количество возрастных групп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11369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18A3E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198F0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6C0C3B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76875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2</w:t>
            </w:r>
          </w:p>
        </w:tc>
        <w:tc>
          <w:tcPr>
            <w:tcW w:w="1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89214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2</w:t>
            </w:r>
          </w:p>
        </w:tc>
      </w:tr>
      <w:tr w14:paraId="04013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B4966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A04243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Режим работы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EDDD2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64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3C291E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с 6.00 – 18.00 часов (12 часов)</w:t>
            </w:r>
          </w:p>
        </w:tc>
      </w:tr>
      <w:tr w14:paraId="69247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16CD5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6DE822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Начало учебного года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70E3E0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64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36C7B5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                                                   0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1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.09.202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года</w:t>
            </w:r>
          </w:p>
        </w:tc>
      </w:tr>
      <w:tr w14:paraId="229C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AEBF1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2BAA5F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Окончание учебного года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1DBC7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64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F96E5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29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.05.202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6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года</w:t>
            </w:r>
          </w:p>
        </w:tc>
      </w:tr>
      <w:tr w14:paraId="01734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4D900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0D6753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Количество недель в учебном году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57A38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64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6F6AD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3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7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недель</w:t>
            </w:r>
          </w:p>
        </w:tc>
      </w:tr>
      <w:tr w14:paraId="2D8E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C8ACA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CCBB2A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val="en-US" w:eastAsia="en-US"/>
              </w:rPr>
              <w:t>I</w:t>
            </w:r>
            <w:r>
              <w:rPr>
                <w:rFonts w:ascii="Times New Roman" w:hAnsi="Times New Roman" w:cs="Times New Roman" w:eastAsiaTheme="minorHAnsi"/>
                <w:color w:val="000000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полугодие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509821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64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7B88F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17 недель</w:t>
            </w:r>
          </w:p>
        </w:tc>
      </w:tr>
      <w:tr w14:paraId="2985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39678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5B95D5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val="en-US" w:eastAsia="en-US"/>
              </w:rPr>
              <w:t>II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полугодие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79F975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64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4848B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20 недель</w:t>
            </w:r>
          </w:p>
        </w:tc>
      </w:tr>
      <w:tr w14:paraId="61D0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0C5C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19820D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Продолжительность учебной недели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3282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64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19D62A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5 дней (понедельник – пятница)</w:t>
            </w:r>
          </w:p>
        </w:tc>
      </w:tr>
      <w:tr w14:paraId="6D53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2DE62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AE11B8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Продолжительность занятий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CF35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45EA18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10 мин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83BC3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733C524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10 мин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CD4F9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02602A4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15 мин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AB6BC19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399610BF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20 мин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77E32B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5A09B46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25 мин</w:t>
            </w:r>
          </w:p>
        </w:tc>
        <w:tc>
          <w:tcPr>
            <w:tcW w:w="1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474D8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5B1DF44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30 мин</w:t>
            </w:r>
          </w:p>
        </w:tc>
      </w:tr>
      <w:tr w14:paraId="4579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E819A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67A1DB3F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Максимально допустимый объем недельной образовательной нагрузки по СанПиНу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0562B0BD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>1 час 10 минут,</w:t>
            </w:r>
          </w:p>
          <w:p w14:paraId="267C2BA4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>10 игровых занятий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1E8103DA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>1 час 40 мин,</w:t>
            </w:r>
          </w:p>
          <w:p w14:paraId="00206C53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>10 игровых занятий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E546BA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>2 часа 30 минут,</w:t>
            </w:r>
          </w:p>
          <w:p w14:paraId="441A2469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 xml:space="preserve"> 10 игровых занятий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2E0DE9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 xml:space="preserve">3 часа 20минут, </w:t>
            </w:r>
          </w:p>
          <w:p w14:paraId="46C21F4E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>10 игровых занятий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D44BEC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 xml:space="preserve">5 часов </w:t>
            </w:r>
          </w:p>
          <w:p w14:paraId="1538C744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>25 минут,</w:t>
            </w:r>
          </w:p>
          <w:p w14:paraId="1BADFC6C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>14 игровых занятий</w:t>
            </w:r>
          </w:p>
          <w:p w14:paraId="1731BD62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</w:p>
        </w:tc>
        <w:tc>
          <w:tcPr>
            <w:tcW w:w="1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81B866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>7 часов 30минут,</w:t>
            </w:r>
          </w:p>
          <w:p w14:paraId="153120AA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 xml:space="preserve"> 15 игровых занятий </w:t>
            </w:r>
          </w:p>
        </w:tc>
      </w:tr>
      <w:tr w14:paraId="0734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A2C78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563FB90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590B74E6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Недельная дополнительная образовательная нагрузка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47890FBD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686280B7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B4AD55">
            <w:pPr>
              <w:pStyle w:val="10"/>
              <w:widowControl/>
              <w:spacing w:line="240" w:lineRule="auto"/>
              <w:jc w:val="center"/>
              <w:rPr>
                <w:rStyle w:val="11"/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Style w:val="11"/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EBABBB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FF5F1C4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>25 минут</w:t>
            </w:r>
          </w:p>
          <w:p w14:paraId="1774DC5E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>1 занятие</w:t>
            </w:r>
          </w:p>
        </w:tc>
        <w:tc>
          <w:tcPr>
            <w:tcW w:w="13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48F4F2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 xml:space="preserve">1 час </w:t>
            </w:r>
          </w:p>
          <w:p w14:paraId="100CB8D5">
            <w:pPr>
              <w:spacing w:after="0" w:line="240" w:lineRule="auto"/>
              <w:jc w:val="center"/>
              <w:rPr>
                <w:rStyle w:val="11"/>
                <w:rFonts w:eastAsiaTheme="minorHAnsi"/>
                <w:lang w:eastAsia="en-US"/>
              </w:rPr>
            </w:pPr>
            <w:r>
              <w:rPr>
                <w:rStyle w:val="11"/>
                <w:rFonts w:eastAsiaTheme="minorHAnsi"/>
                <w:lang w:eastAsia="en-US"/>
              </w:rPr>
              <w:t>2 занятия</w:t>
            </w:r>
          </w:p>
        </w:tc>
      </w:tr>
      <w:tr w14:paraId="46FEB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70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1488079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0E9015DA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Психологическая готовность детей к обучению в школе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0F80A634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206584C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5351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79723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сентябрь 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 xml:space="preserve">5 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г, апрель 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6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г</w:t>
            </w:r>
          </w:p>
        </w:tc>
      </w:tr>
      <w:tr w14:paraId="4BF0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709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14:paraId="1B582998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7A96D3B7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МКР физическая подготовленность)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4B9F156E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3691E2F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5351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FB2DC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октябрь 20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25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г, апрель 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6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г</w:t>
            </w:r>
          </w:p>
        </w:tc>
      </w:tr>
      <w:tr w14:paraId="26FD6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709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F34BA7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66F2E934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Диагностика усвоения программного материала по родному, татарскому языкам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1EAFF97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</w:tcPr>
          <w:p w14:paraId="22AD43D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5351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59186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7DE89D1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декабрь 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5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г, апрель 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6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г</w:t>
            </w:r>
          </w:p>
        </w:tc>
      </w:tr>
      <w:tr w14:paraId="5C0C8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28C052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821C14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Каникулы 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8F5FC5">
            <w:pPr>
              <w:pStyle w:val="8"/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616D62">
            <w:pPr>
              <w:pStyle w:val="8"/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</w:p>
        </w:tc>
        <w:tc>
          <w:tcPr>
            <w:tcW w:w="535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F0F4B1">
            <w:pPr>
              <w:pStyle w:val="8"/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01 – </w:t>
            </w:r>
            <w:r>
              <w:rPr>
                <w:rFonts w:hint="default" w:ascii="Times New Roman" w:hAnsi="Times New Roman" w:cs="Times New Roman" w:eastAsiaTheme="minorHAnsi"/>
                <w:lang w:val="ru-RU" w:eastAsia="en-US"/>
              </w:rPr>
              <w:t>11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 января 202</w:t>
            </w:r>
            <w:r>
              <w:rPr>
                <w:rFonts w:hint="default" w:ascii="Times New Roman" w:hAnsi="Times New Roman" w:cs="Times New Roman" w:eastAsiaTheme="minorHAnsi"/>
                <w:lang w:val="ru-RU" w:eastAsia="en-US"/>
              </w:rPr>
              <w:t>6</w:t>
            </w: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 г</w:t>
            </w:r>
          </w:p>
          <w:p w14:paraId="2E6D9DE1">
            <w:pPr>
              <w:pStyle w:val="8"/>
              <w:spacing w:after="0" w:line="240" w:lineRule="auto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</w:tr>
      <w:tr w14:paraId="6175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E52CC0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708F4D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Летний оздоровительный период</w:t>
            </w: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500DCC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317BBD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535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685A81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С 01.06.202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 xml:space="preserve">6 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– 31.08.202</w:t>
            </w:r>
            <w:r>
              <w:rPr>
                <w:rFonts w:hint="default" w:ascii="Times New Roman" w:hAnsi="Times New Roman" w:cs="Times New Roman" w:eastAsiaTheme="minorHAnsi"/>
                <w:color w:val="000000"/>
                <w:lang w:val="ru-RU" w:eastAsia="en-US"/>
              </w:rPr>
              <w:t>6</w:t>
            </w: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 xml:space="preserve"> г</w:t>
            </w:r>
          </w:p>
        </w:tc>
      </w:tr>
      <w:tr w14:paraId="6874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B9C64F6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15</w:t>
            </w:r>
          </w:p>
          <w:p w14:paraId="5245BB03">
            <w:pPr>
              <w:pStyle w:val="8"/>
              <w:spacing w:after="0" w:line="240" w:lineRule="auto"/>
              <w:ind w:left="0"/>
              <w:jc w:val="center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48D2E0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000000"/>
                <w:lang w:eastAsia="en-US"/>
              </w:rPr>
              <w:t>Праздничные дни</w:t>
            </w:r>
          </w:p>
          <w:p w14:paraId="71B7AA58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24F28D6A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53C46DD2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  <w:p w14:paraId="6B68AF8D">
            <w:pPr>
              <w:pStyle w:val="8"/>
              <w:spacing w:after="0" w:line="240" w:lineRule="auto"/>
              <w:ind w:left="0"/>
              <w:jc w:val="both"/>
              <w:rPr>
                <w:rFonts w:ascii="Times New Roman" w:hAnsi="Times New Roman" w:cs="Times New Roman" w:eastAsiaTheme="minorHAns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DD7933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FDF4ED2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</w:p>
        </w:tc>
        <w:tc>
          <w:tcPr>
            <w:tcW w:w="535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6F573B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1 Января –Новый год                                      </w:t>
            </w:r>
          </w:p>
          <w:p w14:paraId="6E52C268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7 Января – Рождество Христово </w:t>
            </w:r>
          </w:p>
          <w:p w14:paraId="6DFF010B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23 Февраля- День защитника Отечества</w:t>
            </w:r>
          </w:p>
          <w:p w14:paraId="3A6F5208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8 Марта- Международный женский день                              </w:t>
            </w:r>
          </w:p>
          <w:p w14:paraId="403A74C2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 1 мая- праздник  весны и труда                       </w:t>
            </w:r>
          </w:p>
          <w:p w14:paraId="2DAFA1DF">
            <w:pPr>
              <w:tabs>
                <w:tab w:val="left" w:pos="4411"/>
                <w:tab w:val="left" w:pos="5565"/>
                <w:tab w:val="left" w:pos="5825"/>
              </w:tabs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9 мая- День Победы</w:t>
            </w:r>
          </w:p>
          <w:p w14:paraId="040076EA">
            <w:pPr>
              <w:tabs>
                <w:tab w:val="left" w:pos="4411"/>
                <w:tab w:val="left" w:pos="5565"/>
                <w:tab w:val="left" w:pos="5825"/>
              </w:tabs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12 июня- День России</w:t>
            </w:r>
          </w:p>
          <w:p w14:paraId="7C8B3557">
            <w:pPr>
              <w:tabs>
                <w:tab w:val="left" w:pos="4411"/>
                <w:tab w:val="left" w:pos="5565"/>
                <w:tab w:val="left" w:pos="5825"/>
              </w:tabs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30 августа- день Республики Татарстан</w:t>
            </w:r>
          </w:p>
          <w:p w14:paraId="79173F72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4 ноября-  День народного единства</w:t>
            </w:r>
          </w:p>
          <w:p w14:paraId="60942B55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6 ноября – День Конституции Татарстана</w:t>
            </w:r>
          </w:p>
        </w:tc>
      </w:tr>
    </w:tbl>
    <w:p w14:paraId="38948147">
      <w:pPr>
        <w:rPr>
          <w:rFonts w:hint="default"/>
          <w:lang w:val="ru-RU"/>
        </w:rPr>
      </w:pPr>
    </w:p>
    <w:p w14:paraId="2EAC7D52">
      <w:pPr>
        <w:rPr>
          <w:rFonts w:hint="default"/>
          <w:lang w:val="ru-RU"/>
        </w:rPr>
      </w:pPr>
      <w:bookmarkStart w:id="0" w:name="_GoBack"/>
      <w:bookmarkEnd w:id="0"/>
    </w:p>
    <w:p w14:paraId="37F9BF47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520815" cy="9719310"/>
            <wp:effectExtent l="0" t="0" r="13335" b="15240"/>
            <wp:docPr id="2" name="Изображение 2" descr="учебный график форзац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учебный график форзац3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0815" cy="971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40" w:right="5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98785B"/>
    <w:rsid w:val="7943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ody Text"/>
    <w:basedOn w:val="1"/>
    <w:link w:val="9"/>
    <w:qFormat/>
    <w:uiPriority w:val="0"/>
    <w:pPr>
      <w:shd w:val="clear" w:color="auto" w:fill="FFFFFF"/>
      <w:spacing w:after="120" w:line="211" w:lineRule="exact"/>
      <w:jc w:val="right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Основной текст Знак"/>
    <w:link w:val="5"/>
    <w:qFormat/>
    <w:uiPriority w:val="0"/>
  </w:style>
  <w:style w:type="paragraph" w:customStyle="1" w:styleId="10">
    <w:name w:val="Style1"/>
    <w:basedOn w:val="1"/>
    <w:qFormat/>
    <w:uiPriority w:val="9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11">
    <w:name w:val="Font Style18"/>
    <w:basedOn w:val="2"/>
    <w:qFormat/>
    <w:uiPriority w:val="99"/>
    <w:rPr>
      <w:rFonts w:hint="default" w:ascii="Times New Roman" w:hAnsi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2025-10-28T12:41:00Z</dcterms:created>
  <dc:creator>1</dc:creator>
  <cp:lastModifiedBy>Елена Еремеева</cp:lastModifiedBy>
  <dcterms:modified xsi:type="dcterms:W3CDTF">2025-10-28T12:48:51Z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EBEA93BA353040F0B248734355AB3790_12</vt:lpwstr>
  </property>
</Properties>
</file>